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A0D8AFE" w:rsidR="009B6F95" w:rsidRPr="00C803F3" w:rsidRDefault="001A5F7B" w:rsidP="009B6F95">
          <w:pPr>
            <w:pStyle w:val="Title1"/>
          </w:pPr>
          <w:r>
            <w:t>Financial Sustainability of local authorities: 2018</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3955758" w:rsidR="00795C95" w:rsidRDefault="001A5F7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E7832A2" w:rsidR="009B6F95" w:rsidRDefault="00EB3672" w:rsidP="00B84F31">
      <w:pPr>
        <w:pStyle w:val="Title3"/>
        <w:ind w:left="0" w:firstLine="0"/>
      </w:pPr>
      <w:r>
        <w:t>The National Audit Office</w:t>
      </w:r>
      <w:r w:rsidR="00E53316">
        <w:t xml:space="preserve"> (NAO)</w:t>
      </w:r>
      <w:r>
        <w:t xml:space="preserve"> </w:t>
      </w:r>
      <w:r w:rsidR="001A5F7B">
        <w:t>published “Financial sustainability of local authorities: 2018”</w:t>
      </w:r>
      <w:r>
        <w:t xml:space="preserve"> on 8 March and Alex </w:t>
      </w:r>
      <w:proofErr w:type="spellStart"/>
      <w:r>
        <w:t>Burfitt</w:t>
      </w:r>
      <w:proofErr w:type="spellEnd"/>
      <w:r>
        <w:t>, NAO, will attend to present the report. This will provide an opportunity to review our support offer to the sector.</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762A4" w:rsidRDefault="005762A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CD2CAA4" w:rsidR="005762A4" w:rsidRPr="00A627DD" w:rsidRDefault="00CD188C" w:rsidP="00B84F31">
                                <w:pPr>
                                  <w:ind w:left="0" w:firstLine="0"/>
                                </w:pPr>
                                <w:r>
                                  <w:rPr>
                                    <w:rStyle w:val="Style6"/>
                                  </w:rPr>
                                  <w:t>Recommendation</w:t>
                                </w:r>
                              </w:p>
                            </w:sdtContent>
                          </w:sdt>
                          <w:p w14:paraId="5837A1DE" w14:textId="0839B90E" w:rsidR="005762A4" w:rsidRDefault="005762A4" w:rsidP="00B84F31">
                            <w:pPr>
                              <w:pStyle w:val="Title3"/>
                              <w:ind w:left="0" w:firstLine="0"/>
                            </w:pPr>
                            <w:r w:rsidRPr="00B84F31">
                              <w:t>That</w:t>
                            </w:r>
                            <w:r>
                              <w:t xml:space="preserve"> </w:t>
                            </w:r>
                            <w:r w:rsidR="005B5045">
                              <w:t>the Improvement and Innovation Board</w:t>
                            </w:r>
                            <w:r>
                              <w:t xml:space="preserve"> consider the implications of the recent N</w:t>
                            </w:r>
                            <w:r w:rsidR="00077759">
                              <w:t>AO report.</w:t>
                            </w:r>
                          </w:p>
                          <w:p w14:paraId="5837A1DF" w14:textId="0AB182A0" w:rsidR="005762A4" w:rsidRPr="00A627DD" w:rsidRDefault="00E5331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D188C">
                                  <w:rPr>
                                    <w:rStyle w:val="Style6"/>
                                  </w:rPr>
                                  <w:t>Action</w:t>
                                </w:r>
                              </w:sdtContent>
                            </w:sdt>
                          </w:p>
                          <w:p w14:paraId="5837A1E0" w14:textId="1767AC1B" w:rsidR="005762A4" w:rsidRPr="00B84F31" w:rsidRDefault="005762A4" w:rsidP="00B84F31">
                            <w:pPr>
                              <w:pStyle w:val="Title3"/>
                              <w:ind w:left="0" w:firstLine="0"/>
                            </w:pPr>
                            <w:r>
                              <w:t>Officers to progress in the light of members’ comments.</w:t>
                            </w:r>
                          </w:p>
                          <w:p w14:paraId="5837A1E1" w14:textId="77777777" w:rsidR="005762A4" w:rsidRDefault="00576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762A4" w:rsidRDefault="005762A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CD2CAA4" w:rsidR="005762A4" w:rsidRPr="00A627DD" w:rsidRDefault="00CD188C" w:rsidP="00B84F31">
                          <w:pPr>
                            <w:ind w:left="0" w:firstLine="0"/>
                          </w:pPr>
                          <w:r>
                            <w:rPr>
                              <w:rStyle w:val="Style6"/>
                            </w:rPr>
                            <w:t>Recommendation</w:t>
                          </w:r>
                        </w:p>
                      </w:sdtContent>
                    </w:sdt>
                    <w:p w14:paraId="5837A1DE" w14:textId="0839B90E" w:rsidR="005762A4" w:rsidRDefault="005762A4" w:rsidP="00B84F31">
                      <w:pPr>
                        <w:pStyle w:val="Title3"/>
                        <w:ind w:left="0" w:firstLine="0"/>
                      </w:pPr>
                      <w:r w:rsidRPr="00B84F31">
                        <w:t>That</w:t>
                      </w:r>
                      <w:r>
                        <w:t xml:space="preserve"> </w:t>
                      </w:r>
                      <w:r w:rsidR="005B5045">
                        <w:t>the Improvement and Innovation Board</w:t>
                      </w:r>
                      <w:r>
                        <w:t xml:space="preserve"> consider the implications of the recent N</w:t>
                      </w:r>
                      <w:r w:rsidR="00077759">
                        <w:t>AO report.</w:t>
                      </w:r>
                    </w:p>
                    <w:p w14:paraId="5837A1DF" w14:textId="0AB182A0" w:rsidR="005762A4" w:rsidRPr="00A627DD" w:rsidRDefault="00E5331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D188C">
                            <w:rPr>
                              <w:rStyle w:val="Style6"/>
                            </w:rPr>
                            <w:t>Action</w:t>
                          </w:r>
                        </w:sdtContent>
                      </w:sdt>
                    </w:p>
                    <w:p w14:paraId="5837A1E0" w14:textId="1767AC1B" w:rsidR="005762A4" w:rsidRPr="00B84F31" w:rsidRDefault="005762A4" w:rsidP="00B84F31">
                      <w:pPr>
                        <w:pStyle w:val="Title3"/>
                        <w:ind w:left="0" w:firstLine="0"/>
                      </w:pPr>
                      <w:r>
                        <w:t>Officers to progress in the light of members’ comments.</w:t>
                      </w:r>
                    </w:p>
                    <w:p w14:paraId="5837A1E1" w14:textId="77777777" w:rsidR="005762A4" w:rsidRDefault="005762A4"/>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6F2700FF" w:rsidR="009B6F95" w:rsidRPr="00C803F3" w:rsidRDefault="00E5331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B3672">
            <w:t>Dennis Skinner</w:t>
          </w:r>
        </w:sdtContent>
      </w:sdt>
    </w:p>
    <w:p w14:paraId="5837A1A9" w14:textId="4D3C1140" w:rsidR="009B6F95" w:rsidRDefault="00E5331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B3672">
            <w:t>Head of Improvement</w:t>
          </w:r>
        </w:sdtContent>
      </w:sdt>
    </w:p>
    <w:p w14:paraId="5837A1AA" w14:textId="08973CA2" w:rsidR="009B6F95" w:rsidRDefault="00E5331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425A900D7E884B1F9F17FA0290C47927"/>
          </w:placeholder>
          <w:text w:multiLine="1"/>
        </w:sdtPr>
        <w:sdtEndPr/>
        <w:sdtContent>
          <w:r w:rsidR="00EB3672" w:rsidRPr="00EB3672">
            <w:rPr>
              <w:rFonts w:cs="Arial"/>
            </w:rPr>
            <w:t>020 7664 3017</w:t>
          </w:r>
        </w:sdtContent>
      </w:sdt>
    </w:p>
    <w:p w14:paraId="5837A1AB" w14:textId="54AA23E3" w:rsidR="009B6F95" w:rsidRDefault="00E5331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B3672">
            <w:t>dennis.skinner</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19661296"/>
          <w:placeholder>
            <w:docPart w:val="7D458BF69B694C29B178A1B00577BD13"/>
          </w:placeholder>
          <w:text w:multiLine="1"/>
        </w:sdtPr>
        <w:sdtEndPr/>
        <w:sdtContent>
          <w:r w:rsidR="00EB3672" w:rsidRPr="00EB3672">
            <w:rPr>
              <w:rFonts w:eastAsiaTheme="minorEastAsia" w:cs="Arial"/>
              <w:bCs/>
              <w:lang w:eastAsia="ja-JP"/>
            </w:rPr>
            <w:t>Financial Sustainability of local authorities: 2018</w:t>
          </w:r>
        </w:sdtContent>
      </w:sdt>
      <w:r>
        <w:fldChar w:fldCharType="end"/>
      </w:r>
    </w:p>
    <w:p w14:paraId="5837A1B4" w14:textId="77777777" w:rsidR="009B6F95" w:rsidRPr="00C803F3" w:rsidRDefault="00E5331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5619DE5" w14:textId="77777777" w:rsidR="0014371D" w:rsidRDefault="0033430A" w:rsidP="000F69FB">
      <w:pPr>
        <w:pStyle w:val="ListParagraph"/>
      </w:pPr>
      <w:r>
        <w:t>The National Audit Office published “Financial sustainability of local authorities: 2018” on 8 March. The report updates and builds on similar reports in 2013 and 2014.</w:t>
      </w:r>
    </w:p>
    <w:p w14:paraId="297D0F93" w14:textId="77777777" w:rsidR="005B5045" w:rsidRDefault="005B5045" w:rsidP="005B5045">
      <w:pPr>
        <w:pStyle w:val="ListParagraph"/>
        <w:numPr>
          <w:ilvl w:val="0"/>
          <w:numId w:val="0"/>
        </w:numPr>
        <w:ind w:left="360"/>
      </w:pPr>
    </w:p>
    <w:p w14:paraId="2D40D4A2" w14:textId="35FBBB2F" w:rsidR="0033430A" w:rsidRDefault="0033430A" w:rsidP="000F69FB">
      <w:pPr>
        <w:pStyle w:val="ListParagraph"/>
      </w:pPr>
      <w:r>
        <w:t>The report</w:t>
      </w:r>
      <w:r w:rsidR="00ED2C58">
        <w:t xml:space="preserve"> sets out</w:t>
      </w:r>
    </w:p>
    <w:p w14:paraId="3DCB4ACD" w14:textId="77777777" w:rsidR="005B5045" w:rsidRDefault="005B5045" w:rsidP="005B5045">
      <w:pPr>
        <w:pStyle w:val="ListParagraph"/>
        <w:numPr>
          <w:ilvl w:val="0"/>
          <w:numId w:val="0"/>
        </w:numPr>
        <w:ind w:left="360"/>
      </w:pPr>
    </w:p>
    <w:p w14:paraId="4444C5AD" w14:textId="6A96FBF4" w:rsidR="00ED2C58" w:rsidRDefault="00ED2C58" w:rsidP="00ED2C58">
      <w:pPr>
        <w:pStyle w:val="ListParagraph"/>
        <w:numPr>
          <w:ilvl w:val="1"/>
          <w:numId w:val="1"/>
        </w:numPr>
      </w:pPr>
      <w:r>
        <w:t>the financial and non-financial challenges faced by local authorities since 2010-11 and e</w:t>
      </w:r>
      <w:r w:rsidR="00FA2133">
        <w:t>xamines how they have responded,</w:t>
      </w:r>
    </w:p>
    <w:p w14:paraId="3AAC2433" w14:textId="77777777" w:rsidR="005B5045" w:rsidRDefault="005B5045" w:rsidP="005B5045">
      <w:pPr>
        <w:pStyle w:val="ListParagraph"/>
        <w:numPr>
          <w:ilvl w:val="0"/>
          <w:numId w:val="0"/>
        </w:numPr>
        <w:ind w:left="792"/>
      </w:pPr>
    </w:p>
    <w:p w14:paraId="1D60543E" w14:textId="18C3F1F6" w:rsidR="00ED2C58" w:rsidRDefault="00ED2C58" w:rsidP="00ED2C58">
      <w:pPr>
        <w:pStyle w:val="ListParagraph"/>
        <w:numPr>
          <w:ilvl w:val="1"/>
          <w:numId w:val="1"/>
        </w:numPr>
      </w:pPr>
      <w:r>
        <w:t>examines service sustainability by exploring changes in patterns of service spending and</w:t>
      </w:r>
      <w:r w:rsidR="00FA2133">
        <w:t xml:space="preserve"> activity in local authorities,</w:t>
      </w:r>
    </w:p>
    <w:p w14:paraId="78F58540" w14:textId="77777777" w:rsidR="005B5045" w:rsidRDefault="005B5045" w:rsidP="005B5045">
      <w:pPr>
        <w:pStyle w:val="ListParagraph"/>
        <w:numPr>
          <w:ilvl w:val="0"/>
          <w:numId w:val="0"/>
        </w:numPr>
        <w:ind w:left="360"/>
      </w:pPr>
    </w:p>
    <w:p w14:paraId="138C9290" w14:textId="0B0388D1" w:rsidR="00ED2C58" w:rsidRDefault="00ED2C58" w:rsidP="00ED2C58">
      <w:pPr>
        <w:pStyle w:val="ListParagraph"/>
        <w:numPr>
          <w:ilvl w:val="1"/>
          <w:numId w:val="1"/>
        </w:numPr>
      </w:pPr>
      <w:r>
        <w:t>assesses levels of financial pressure and their implications for financi</w:t>
      </w:r>
      <w:r w:rsidR="00FA2133">
        <w:t>al sustainability in the sector,</w:t>
      </w:r>
    </w:p>
    <w:p w14:paraId="57312AAA" w14:textId="77777777" w:rsidR="005B5045" w:rsidRDefault="005B5045" w:rsidP="005B5045">
      <w:pPr>
        <w:pStyle w:val="ListParagraph"/>
        <w:numPr>
          <w:ilvl w:val="0"/>
          <w:numId w:val="0"/>
        </w:numPr>
        <w:ind w:left="360"/>
      </w:pPr>
    </w:p>
    <w:p w14:paraId="12DF4F18" w14:textId="104499E6" w:rsidR="00ED2C58" w:rsidRDefault="00F352C6" w:rsidP="00ED2C58">
      <w:pPr>
        <w:pStyle w:val="ListParagraph"/>
        <w:numPr>
          <w:ilvl w:val="1"/>
          <w:numId w:val="1"/>
        </w:numPr>
      </w:pPr>
      <w:r>
        <w:t xml:space="preserve">assesses whether the </w:t>
      </w:r>
      <w:r w:rsidR="00ED2C58">
        <w:t xml:space="preserve">Ministry of Housing, Communities and Local Government and other departments are sufficiently informed about the risks and impacts from pressures in the sector and are managing those risks. </w:t>
      </w:r>
    </w:p>
    <w:p w14:paraId="2B6CC5B7" w14:textId="77777777" w:rsidR="005B5045" w:rsidRDefault="005B5045" w:rsidP="005B5045">
      <w:pPr>
        <w:pStyle w:val="ListParagraph"/>
        <w:numPr>
          <w:ilvl w:val="0"/>
          <w:numId w:val="0"/>
        </w:numPr>
        <w:ind w:left="360"/>
      </w:pPr>
    </w:p>
    <w:p w14:paraId="1243CD88" w14:textId="26FF254E" w:rsidR="005B5045" w:rsidRDefault="003F2CD5" w:rsidP="005B5045">
      <w:pPr>
        <w:pStyle w:val="ListParagraph"/>
      </w:pPr>
      <w:r>
        <w:t>In</w:t>
      </w:r>
      <w:r w:rsidR="0033430A">
        <w:t xml:space="preserve"> summary </w:t>
      </w:r>
      <w:r>
        <w:t>the report found, amongst other things, that</w:t>
      </w:r>
      <w:r w:rsidR="00017C2E">
        <w:t>:</w:t>
      </w:r>
    </w:p>
    <w:p w14:paraId="02EC6103" w14:textId="77777777" w:rsidR="005B5045" w:rsidRDefault="005B5045" w:rsidP="005B5045">
      <w:pPr>
        <w:pStyle w:val="ListParagraph"/>
        <w:numPr>
          <w:ilvl w:val="0"/>
          <w:numId w:val="0"/>
        </w:numPr>
        <w:ind w:left="360"/>
      </w:pPr>
    </w:p>
    <w:p w14:paraId="73786BBE" w14:textId="77777777" w:rsidR="003F2CD5" w:rsidRDefault="003F2CD5" w:rsidP="003F2CD5">
      <w:pPr>
        <w:pStyle w:val="ListParagraph"/>
        <w:numPr>
          <w:ilvl w:val="1"/>
          <w:numId w:val="1"/>
        </w:numPr>
      </w:pPr>
      <w:r w:rsidRPr="004355F8">
        <w:t xml:space="preserve">Government funding for local authorities has fallen by an estimated 49.1% in real terms from 2010-11 to 2017-18. This equates to a 28.6% real-terms reduction in ‘spending power’ (government funding and council tax). </w:t>
      </w:r>
    </w:p>
    <w:p w14:paraId="415266DD" w14:textId="77777777" w:rsidR="005B5045" w:rsidRPr="004355F8" w:rsidRDefault="005B5045" w:rsidP="005B5045">
      <w:pPr>
        <w:pStyle w:val="ListParagraph"/>
        <w:numPr>
          <w:ilvl w:val="0"/>
          <w:numId w:val="0"/>
        </w:numPr>
        <w:ind w:left="792"/>
      </w:pPr>
    </w:p>
    <w:p w14:paraId="1140FDAA" w14:textId="3373702C" w:rsidR="005B5045" w:rsidRDefault="003F2CD5" w:rsidP="005B5045">
      <w:pPr>
        <w:pStyle w:val="ListParagraph"/>
        <w:numPr>
          <w:ilvl w:val="1"/>
          <w:numId w:val="1"/>
        </w:numPr>
      </w:pPr>
      <w:r w:rsidRPr="004355F8">
        <w:t xml:space="preserve">Alongside reductions in funding, local authorities have had to deal with growth in demand for key services, as well as absorbing other cost pressures. </w:t>
      </w:r>
    </w:p>
    <w:p w14:paraId="6EA30F8A" w14:textId="77777777" w:rsidR="005B5045" w:rsidRPr="004355F8" w:rsidRDefault="005B5045" w:rsidP="005B5045">
      <w:pPr>
        <w:pStyle w:val="ListParagraph"/>
        <w:numPr>
          <w:ilvl w:val="0"/>
          <w:numId w:val="0"/>
        </w:numPr>
        <w:ind w:left="360"/>
      </w:pPr>
    </w:p>
    <w:p w14:paraId="20654764" w14:textId="77777777" w:rsidR="003F2CD5" w:rsidRDefault="003F2CD5" w:rsidP="003F2CD5">
      <w:pPr>
        <w:pStyle w:val="ListParagraph"/>
        <w:numPr>
          <w:ilvl w:val="1"/>
          <w:numId w:val="1"/>
        </w:numPr>
      </w:pPr>
      <w:r w:rsidRPr="004355F8">
        <w:t xml:space="preserve">Local authorities have changed their approach to managing reductions in income, shifting away from reducing spending on services to looking for other savings and sources of income. </w:t>
      </w:r>
    </w:p>
    <w:p w14:paraId="5BA0879D" w14:textId="77777777" w:rsidR="005B5045" w:rsidRPr="004355F8" w:rsidRDefault="005B5045" w:rsidP="005B5045">
      <w:pPr>
        <w:pStyle w:val="ListParagraph"/>
        <w:numPr>
          <w:ilvl w:val="0"/>
          <w:numId w:val="0"/>
        </w:numPr>
        <w:ind w:left="360"/>
      </w:pPr>
    </w:p>
    <w:p w14:paraId="3E1E42C4" w14:textId="77777777" w:rsidR="003F2CD5" w:rsidRDefault="003F2CD5" w:rsidP="003F2CD5">
      <w:pPr>
        <w:pStyle w:val="ListParagraph"/>
        <w:numPr>
          <w:ilvl w:val="1"/>
          <w:numId w:val="1"/>
        </w:numPr>
      </w:pPr>
      <w:r w:rsidRPr="004355F8">
        <w:t xml:space="preserve">Local authorities have protected spending on service areas such as adult and children’s social care where they have significant statutory responsibilities, but the amount they spend on areas that are more discretionary has fallen sharply. </w:t>
      </w:r>
    </w:p>
    <w:p w14:paraId="2A75189B" w14:textId="77777777" w:rsidR="005B5045" w:rsidRPr="004355F8" w:rsidRDefault="005B5045" w:rsidP="005B5045">
      <w:pPr>
        <w:pStyle w:val="ListParagraph"/>
        <w:numPr>
          <w:ilvl w:val="0"/>
          <w:numId w:val="0"/>
        </w:numPr>
        <w:ind w:left="360"/>
      </w:pPr>
    </w:p>
    <w:p w14:paraId="1981F139" w14:textId="04827E38" w:rsidR="003F2CD5" w:rsidRPr="004355F8" w:rsidRDefault="003F2CD5" w:rsidP="003F2CD5">
      <w:pPr>
        <w:pStyle w:val="ListParagraph"/>
        <w:numPr>
          <w:ilvl w:val="1"/>
          <w:numId w:val="1"/>
        </w:numPr>
      </w:pPr>
      <w:r w:rsidRPr="004355F8">
        <w:t>Compared wit</w:t>
      </w:r>
      <w:r w:rsidR="00077759">
        <w:t>h the situation described in the</w:t>
      </w:r>
      <w:r w:rsidRPr="004355F8">
        <w:t xml:space="preserve"> 2014 report, the financial position of the sector has worsened markedly, particularly for authorities with social care responsibilities. </w:t>
      </w:r>
    </w:p>
    <w:p w14:paraId="5CE467E7" w14:textId="77777777" w:rsidR="003F2CD5" w:rsidRDefault="003F2CD5" w:rsidP="003F2CD5">
      <w:pPr>
        <w:pStyle w:val="ListParagraph"/>
        <w:numPr>
          <w:ilvl w:val="1"/>
          <w:numId w:val="1"/>
        </w:numPr>
      </w:pPr>
      <w:r w:rsidRPr="004355F8">
        <w:lastRenderedPageBreak/>
        <w:t xml:space="preserve">The government has announced multiple short-term funding initiatives in recent years and does not have a long-term funding plan for local authorities. </w:t>
      </w:r>
    </w:p>
    <w:p w14:paraId="6C433603" w14:textId="77777777" w:rsidR="005B5045" w:rsidRPr="004355F8" w:rsidRDefault="005B5045" w:rsidP="005B5045">
      <w:pPr>
        <w:pStyle w:val="ListParagraph"/>
        <w:numPr>
          <w:ilvl w:val="0"/>
          <w:numId w:val="0"/>
        </w:numPr>
        <w:ind w:left="792"/>
      </w:pPr>
    </w:p>
    <w:p w14:paraId="5837A1B5" w14:textId="2D0382A0" w:rsidR="009B6F95" w:rsidRDefault="003F2CD5" w:rsidP="000F69FB">
      <w:pPr>
        <w:pStyle w:val="ListParagraph"/>
      </w:pPr>
      <w:r>
        <w:t xml:space="preserve">A summary of the report, its findings and recommendations, </w:t>
      </w:r>
      <w:r w:rsidR="0033430A">
        <w:t xml:space="preserve">is </w:t>
      </w:r>
      <w:r w:rsidR="0033430A" w:rsidRPr="00ED2C58">
        <w:rPr>
          <w:b/>
        </w:rPr>
        <w:t>attached</w:t>
      </w:r>
      <w:r w:rsidR="00E53316">
        <w:rPr>
          <w:b/>
        </w:rPr>
        <w:t xml:space="preserve"> at </w:t>
      </w:r>
      <w:r w:rsidR="00E53316">
        <w:rPr>
          <w:b/>
          <w:u w:val="single"/>
        </w:rPr>
        <w:t>Appendix A</w:t>
      </w:r>
      <w:r>
        <w:rPr>
          <w:b/>
        </w:rPr>
        <w:t xml:space="preserve"> </w:t>
      </w:r>
      <w:r w:rsidRPr="003F2CD5">
        <w:t xml:space="preserve">and </w:t>
      </w:r>
      <w:r>
        <w:t xml:space="preserve">Alex </w:t>
      </w:r>
      <w:proofErr w:type="spellStart"/>
      <w:r>
        <w:t>Burfitt</w:t>
      </w:r>
      <w:proofErr w:type="spellEnd"/>
      <w:r>
        <w:t>, NAO, will attend to present the report.</w:t>
      </w:r>
    </w:p>
    <w:p w14:paraId="697C0EBE" w14:textId="77777777" w:rsidR="005B5045" w:rsidRDefault="005B5045" w:rsidP="005B5045">
      <w:pPr>
        <w:pStyle w:val="ListParagraph"/>
        <w:numPr>
          <w:ilvl w:val="0"/>
          <w:numId w:val="0"/>
        </w:numPr>
        <w:ind w:left="360"/>
      </w:pPr>
    </w:p>
    <w:p w14:paraId="33218815" w14:textId="5BE219C5" w:rsidR="0014371D" w:rsidRPr="001A5F7B" w:rsidRDefault="0014371D" w:rsidP="0014371D">
      <w:pPr>
        <w:pStyle w:val="ListParagraph"/>
        <w:rPr>
          <w:color w:val="464B51"/>
          <w:lang w:val="en"/>
        </w:rPr>
      </w:pPr>
      <w:r w:rsidRPr="001A5F7B">
        <w:rPr>
          <w:lang w:val="en"/>
        </w:rPr>
        <w:t>Respondi</w:t>
      </w:r>
      <w:r>
        <w:rPr>
          <w:lang w:val="en"/>
        </w:rPr>
        <w:t>ng to the publication of the report</w:t>
      </w:r>
      <w:r w:rsidRPr="001A5F7B">
        <w:rPr>
          <w:lang w:val="en"/>
        </w:rPr>
        <w:t xml:space="preserve"> Lord Porter, said:</w:t>
      </w:r>
    </w:p>
    <w:p w14:paraId="286E4EE5" w14:textId="552D9889" w:rsidR="0014371D" w:rsidRDefault="0014371D" w:rsidP="0014371D">
      <w:pPr>
        <w:ind w:firstLine="0"/>
        <w:rPr>
          <w:i/>
          <w:lang w:val="en"/>
        </w:rPr>
      </w:pPr>
      <w:r w:rsidRPr="0014371D">
        <w:rPr>
          <w:i/>
          <w:lang w:val="en"/>
        </w:rPr>
        <w:t>“This stark report sets out the significant funding challenges facing all councils and the effect years of unprecedented funding reductions have had on the local services our communities rely on and other parts of the public sector. It is yet further compelling evidence as to why the Government must urgently secure the financial sustainability of local government and the 1,300 different statutory duties and responsibilities councils provide”.</w:t>
      </w:r>
    </w:p>
    <w:p w14:paraId="21A48109" w14:textId="6CD8F101" w:rsidR="00FA2133" w:rsidRDefault="00E53316" w:rsidP="0014371D">
      <w:pPr>
        <w:ind w:firstLine="0"/>
        <w:rPr>
          <w:i/>
          <w:lang w:val="en"/>
        </w:rPr>
      </w:pPr>
      <w:hyperlink r:id="rId10" w:history="1">
        <w:r w:rsidR="00FA2133" w:rsidRPr="00CD1D02">
          <w:rPr>
            <w:rStyle w:val="Hyperlink"/>
            <w:i/>
            <w:lang w:val="en"/>
          </w:rPr>
          <w:t>https://www.local.gov.uk/about/news/lga-responds-nao-report-financial-sustainability-local-authorities</w:t>
        </w:r>
      </w:hyperlink>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837A1B8" w14:textId="34BE7EBE" w:rsidR="009B6F95" w:rsidRDefault="00077759" w:rsidP="000F69FB">
      <w:pPr>
        <w:pStyle w:val="ListParagraph"/>
        <w:rPr>
          <w:rStyle w:val="ReportTemplate"/>
        </w:rPr>
      </w:pPr>
      <w:r>
        <w:rPr>
          <w:rStyle w:val="ReportTemplate"/>
        </w:rPr>
        <w:t>In response to the</w:t>
      </w:r>
      <w:r w:rsidR="00017C2E">
        <w:rPr>
          <w:rStyle w:val="ReportTemplate"/>
        </w:rPr>
        <w:t xml:space="preserve"> challenging financial environment the LGA has progressively strengthened our support offer to the sector. The offer includes the following key elements: </w:t>
      </w:r>
    </w:p>
    <w:p w14:paraId="574E8064" w14:textId="77777777" w:rsidR="005B5045" w:rsidRPr="00A627DD" w:rsidRDefault="005B5045" w:rsidP="005B5045">
      <w:pPr>
        <w:pStyle w:val="ListParagraph"/>
        <w:numPr>
          <w:ilvl w:val="0"/>
          <w:numId w:val="0"/>
        </w:numPr>
        <w:ind w:left="360"/>
        <w:rPr>
          <w:rStyle w:val="ReportTemplate"/>
        </w:rPr>
      </w:pPr>
    </w:p>
    <w:p w14:paraId="79A04F58" w14:textId="2849C48A" w:rsidR="005B5045" w:rsidRPr="005B5045" w:rsidRDefault="0094439C" w:rsidP="005B5045">
      <w:pPr>
        <w:pStyle w:val="ListParagraph"/>
        <w:numPr>
          <w:ilvl w:val="1"/>
          <w:numId w:val="1"/>
        </w:numPr>
        <w:rPr>
          <w:b/>
        </w:rPr>
      </w:pPr>
      <w:r w:rsidRPr="00936F85">
        <w:rPr>
          <w:rStyle w:val="ReportTemplate"/>
          <w:b/>
        </w:rPr>
        <w:t>Leadership:</w:t>
      </w:r>
      <w:r w:rsidR="005878F4" w:rsidRPr="005878F4">
        <w:t xml:space="preserve"> </w:t>
      </w:r>
      <w:r w:rsidR="005878F4" w:rsidRPr="005C3864">
        <w:t xml:space="preserve">Our </w:t>
      </w:r>
      <w:r w:rsidR="005878F4">
        <w:t xml:space="preserve">development </w:t>
      </w:r>
      <w:r w:rsidR="005878F4" w:rsidRPr="005C3864">
        <w:t>programme</w:t>
      </w:r>
      <w:r w:rsidR="005878F4">
        <w:t xml:space="preserve"> includes</w:t>
      </w:r>
      <w:r w:rsidR="00CC3DF5">
        <w:t>:</w:t>
      </w:r>
    </w:p>
    <w:p w14:paraId="3105B681" w14:textId="77777777" w:rsidR="005B5045" w:rsidRPr="005B5045" w:rsidRDefault="005B5045" w:rsidP="005B5045">
      <w:pPr>
        <w:pStyle w:val="ListParagraph"/>
        <w:numPr>
          <w:ilvl w:val="0"/>
          <w:numId w:val="0"/>
        </w:numPr>
        <w:ind w:left="792"/>
        <w:rPr>
          <w:rStyle w:val="ReportTemplate"/>
          <w:b/>
        </w:rPr>
      </w:pPr>
    </w:p>
    <w:p w14:paraId="43AD363D" w14:textId="11B1872E" w:rsidR="00936F85" w:rsidRDefault="005878F4" w:rsidP="005878F4">
      <w:pPr>
        <w:pStyle w:val="ListParagraph"/>
        <w:numPr>
          <w:ilvl w:val="2"/>
          <w:numId w:val="1"/>
        </w:numPr>
      </w:pPr>
      <w:r>
        <w:t xml:space="preserve">The </w:t>
      </w:r>
      <w:r w:rsidR="00936F85" w:rsidRPr="005C3864">
        <w:t>Leadership Academy</w:t>
      </w:r>
      <w:r>
        <w:t xml:space="preserve"> which has a specific module to help </w:t>
      </w:r>
      <w:r w:rsidRPr="005878F4">
        <w:t>develop councillors' ability to l</w:t>
      </w:r>
      <w:r>
        <w:t>ead and manage complex change and</w:t>
      </w:r>
      <w:r w:rsidRPr="005878F4">
        <w:t xml:space="preserve"> impro</w:t>
      </w:r>
      <w:r w:rsidR="00CD188C">
        <w:t xml:space="preserve">ve effectiveness and efficiency. The programme also includes a </w:t>
      </w:r>
      <w:r w:rsidR="00936F85">
        <w:t>specific Leadership Essentials Finance programme (a</w:t>
      </w:r>
      <w:r w:rsidR="00936F85" w:rsidRPr="00936F85">
        <w:t xml:space="preserve"> two</w:t>
      </w:r>
      <w:r w:rsidR="00936F85">
        <w:t xml:space="preserve"> day residential programme to </w:t>
      </w:r>
      <w:r w:rsidR="00936F85" w:rsidRPr="00936F85">
        <w:t>help leaders and finance portfolio holders get to grips with the financial challenges facing their authority</w:t>
      </w:r>
      <w:r w:rsidR="00936F85">
        <w:t>)</w:t>
      </w:r>
      <w:r w:rsidR="00936F85" w:rsidRPr="00936F85">
        <w:t>.</w:t>
      </w:r>
    </w:p>
    <w:p w14:paraId="43373A92" w14:textId="77777777" w:rsidR="005B5045" w:rsidRDefault="005B5045" w:rsidP="005B5045">
      <w:pPr>
        <w:pStyle w:val="ListParagraph"/>
        <w:numPr>
          <w:ilvl w:val="0"/>
          <w:numId w:val="0"/>
        </w:numPr>
        <w:ind w:left="1214"/>
      </w:pPr>
    </w:p>
    <w:p w14:paraId="4E4289E5" w14:textId="47098612" w:rsidR="005878F4" w:rsidRDefault="005878F4" w:rsidP="005878F4">
      <w:pPr>
        <w:pStyle w:val="ListParagraph"/>
        <w:numPr>
          <w:ilvl w:val="2"/>
          <w:numId w:val="1"/>
        </w:numPr>
      </w:pPr>
      <w:r w:rsidRPr="005878F4">
        <w:t>More generally our member peer support offer includes support for Finance portfolio holders from an experienced pool of Member peers.</w:t>
      </w:r>
    </w:p>
    <w:p w14:paraId="38CEC65C" w14:textId="77777777" w:rsidR="005B5045" w:rsidRPr="005C3864" w:rsidRDefault="005B5045" w:rsidP="005B5045">
      <w:pPr>
        <w:pStyle w:val="ListParagraph"/>
        <w:numPr>
          <w:ilvl w:val="0"/>
          <w:numId w:val="0"/>
        </w:numPr>
        <w:ind w:left="360"/>
      </w:pPr>
    </w:p>
    <w:p w14:paraId="24F144F6" w14:textId="77777777" w:rsidR="0094439C" w:rsidRDefault="0094439C" w:rsidP="0094439C">
      <w:pPr>
        <w:pStyle w:val="ListParagraph"/>
        <w:numPr>
          <w:ilvl w:val="1"/>
          <w:numId w:val="1"/>
        </w:numPr>
        <w:rPr>
          <w:rStyle w:val="ReportTemplate"/>
          <w:b/>
        </w:rPr>
      </w:pPr>
      <w:r w:rsidRPr="00936F85">
        <w:rPr>
          <w:rStyle w:val="ReportTemplate"/>
          <w:b/>
        </w:rPr>
        <w:t>Peer Challenges</w:t>
      </w:r>
    </w:p>
    <w:p w14:paraId="0347279B" w14:textId="77777777" w:rsidR="005B5045" w:rsidRPr="00936F85" w:rsidRDefault="005B5045" w:rsidP="005B5045">
      <w:pPr>
        <w:pStyle w:val="ListParagraph"/>
        <w:numPr>
          <w:ilvl w:val="0"/>
          <w:numId w:val="0"/>
        </w:numPr>
        <w:ind w:left="792"/>
        <w:rPr>
          <w:rStyle w:val="ReportTemplate"/>
          <w:b/>
        </w:rPr>
      </w:pPr>
    </w:p>
    <w:p w14:paraId="677D8BCD" w14:textId="629BB77E" w:rsidR="0094439C" w:rsidRDefault="0094439C" w:rsidP="000127F1">
      <w:pPr>
        <w:pStyle w:val="ListParagraph"/>
        <w:numPr>
          <w:ilvl w:val="2"/>
          <w:numId w:val="1"/>
        </w:numPr>
        <w:rPr>
          <w:rStyle w:val="ReportTemplate"/>
        </w:rPr>
      </w:pPr>
      <w:r>
        <w:rPr>
          <w:rStyle w:val="ReportTemplate"/>
        </w:rPr>
        <w:t>The Corporate Peer Challenge: the CPC now has an explicit focus on finances</w:t>
      </w:r>
      <w:r w:rsidR="00CD188C">
        <w:rPr>
          <w:rStyle w:val="ReportTemplate"/>
        </w:rPr>
        <w:t>,</w:t>
      </w:r>
      <w:r>
        <w:rPr>
          <w:rStyle w:val="ReportTemplate"/>
        </w:rPr>
        <w:t xml:space="preserve"> with financial sustainability as one of the five core elements of the challenge. The challenge as</w:t>
      </w:r>
      <w:r w:rsidR="000127F1">
        <w:rPr>
          <w:rStyle w:val="ReportTemplate"/>
        </w:rPr>
        <w:t>ks “</w:t>
      </w:r>
      <w:r w:rsidRPr="0094439C">
        <w:rPr>
          <w:rStyle w:val="ReportTemplate"/>
        </w:rPr>
        <w:t>Does the council have a financial plan in place</w:t>
      </w:r>
      <w:r w:rsidR="000127F1">
        <w:rPr>
          <w:rStyle w:val="ReportTemplate"/>
        </w:rPr>
        <w:t xml:space="preserve"> </w:t>
      </w:r>
      <w:r w:rsidRPr="0094439C">
        <w:rPr>
          <w:rStyle w:val="ReportTemplate"/>
        </w:rPr>
        <w:t>to ensure long term viability and is there evidence that it is being implemented</w:t>
      </w:r>
      <w:r w:rsidR="000127F1">
        <w:rPr>
          <w:rStyle w:val="ReportTemplate"/>
        </w:rPr>
        <w:t xml:space="preserve"> </w:t>
      </w:r>
      <w:r w:rsidRPr="0094439C">
        <w:rPr>
          <w:rStyle w:val="ReportTemplate"/>
        </w:rPr>
        <w:t>successfully?</w:t>
      </w:r>
    </w:p>
    <w:p w14:paraId="59ADA2C3" w14:textId="77777777" w:rsidR="005B5045" w:rsidRDefault="005B5045" w:rsidP="005B5045">
      <w:pPr>
        <w:pStyle w:val="ListParagraph"/>
        <w:numPr>
          <w:ilvl w:val="0"/>
          <w:numId w:val="0"/>
        </w:numPr>
        <w:ind w:left="1214"/>
        <w:rPr>
          <w:rStyle w:val="ReportTemplate"/>
        </w:rPr>
      </w:pPr>
    </w:p>
    <w:p w14:paraId="1A547C4C" w14:textId="77777777" w:rsidR="005B5045" w:rsidRDefault="0094439C" w:rsidP="005B5045">
      <w:pPr>
        <w:pStyle w:val="ListParagraph"/>
        <w:numPr>
          <w:ilvl w:val="2"/>
          <w:numId w:val="1"/>
        </w:numPr>
        <w:rPr>
          <w:rStyle w:val="ReportTemplate"/>
        </w:rPr>
      </w:pPr>
      <w:r w:rsidRPr="0094439C">
        <w:rPr>
          <w:rStyle w:val="ReportTemplate"/>
        </w:rPr>
        <w:lastRenderedPageBreak/>
        <w:t>The Finance Peer Review</w:t>
      </w:r>
      <w:r>
        <w:rPr>
          <w:rStyle w:val="ReportTemplate"/>
        </w:rPr>
        <w:t>: This</w:t>
      </w:r>
      <w:r w:rsidRPr="0094439C">
        <w:rPr>
          <w:rStyle w:val="ReportTemplate"/>
        </w:rPr>
        <w:t xml:space="preserve"> is a form of specialist peer challenge that dovetails closely with the Corporate P</w:t>
      </w:r>
      <w:r>
        <w:rPr>
          <w:rStyle w:val="ReportTemplate"/>
        </w:rPr>
        <w:t xml:space="preserve">eer Challenge and looks at how </w:t>
      </w:r>
      <w:r w:rsidRPr="0094439C">
        <w:rPr>
          <w:rStyle w:val="ReportTemplate"/>
        </w:rPr>
        <w:t>councils are setting the strategy, making the decisions required and implementing the changes that will give them the best chance of balancing the books in the medium and long term.</w:t>
      </w:r>
    </w:p>
    <w:p w14:paraId="7DE263AC" w14:textId="77777777" w:rsidR="005B5045" w:rsidRDefault="005B5045" w:rsidP="005B5045">
      <w:pPr>
        <w:pStyle w:val="ListParagraph"/>
        <w:numPr>
          <w:ilvl w:val="0"/>
          <w:numId w:val="0"/>
        </w:numPr>
        <w:ind w:left="360"/>
        <w:rPr>
          <w:rStyle w:val="ReportTemplate"/>
        </w:rPr>
      </w:pPr>
    </w:p>
    <w:p w14:paraId="45438046" w14:textId="0D6F203A" w:rsidR="005B5045" w:rsidRPr="005B5045" w:rsidRDefault="00E53316" w:rsidP="005B5045">
      <w:pPr>
        <w:pStyle w:val="ListParagraph"/>
        <w:numPr>
          <w:ilvl w:val="2"/>
          <w:numId w:val="1"/>
        </w:numPr>
      </w:pPr>
      <w:r>
        <w:rPr>
          <w:rStyle w:val="ReportTemplate"/>
        </w:rPr>
        <w:t>In addition we also offer a f</w:t>
      </w:r>
      <w:r w:rsidR="000127F1">
        <w:rPr>
          <w:rStyle w:val="ReportTemplate"/>
        </w:rPr>
        <w:t>inancial health check (</w:t>
      </w:r>
      <w:r w:rsidR="000127F1" w:rsidRPr="005B5045">
        <w:rPr>
          <w:rFonts w:cs="Arial"/>
        </w:rPr>
        <w:t xml:space="preserve">an in-depth technical </w:t>
      </w:r>
      <w:r w:rsidR="00936F85" w:rsidRPr="005B5045">
        <w:rPr>
          <w:rFonts w:cs="Arial"/>
        </w:rPr>
        <w:t>assessment and analysis of a council’s</w:t>
      </w:r>
      <w:r w:rsidR="000127F1" w:rsidRPr="005B5045">
        <w:rPr>
          <w:rFonts w:cs="Arial"/>
        </w:rPr>
        <w:t xml:space="preserve"> finances</w:t>
      </w:r>
      <w:r w:rsidR="00936F85" w:rsidRPr="005B5045">
        <w:rPr>
          <w:rFonts w:cs="Arial"/>
        </w:rPr>
        <w:t>) and a budget challenge (a facilitated discussion, led by a member peer, working with cabinet or equivalent</w:t>
      </w:r>
      <w:r w:rsidR="00CD188C" w:rsidRPr="005B5045">
        <w:rPr>
          <w:rFonts w:cs="Arial"/>
        </w:rPr>
        <w:t>,</w:t>
      </w:r>
      <w:r w:rsidR="00936F85" w:rsidRPr="005B5045">
        <w:rPr>
          <w:rFonts w:cs="Arial"/>
        </w:rPr>
        <w:t xml:space="preserve"> offering political advice/guidance on budget options and issues).</w:t>
      </w:r>
    </w:p>
    <w:p w14:paraId="0D467EF3" w14:textId="77777777" w:rsidR="005B5045" w:rsidRDefault="005B5045" w:rsidP="005B5045">
      <w:pPr>
        <w:pStyle w:val="ListParagraph"/>
        <w:numPr>
          <w:ilvl w:val="0"/>
          <w:numId w:val="0"/>
        </w:numPr>
        <w:ind w:left="360"/>
        <w:rPr>
          <w:rStyle w:val="ReportTemplate"/>
        </w:rPr>
      </w:pPr>
    </w:p>
    <w:p w14:paraId="5837A1B9" w14:textId="1071595B" w:rsidR="009B6F95" w:rsidRPr="005B5045" w:rsidRDefault="0094439C" w:rsidP="005878F4">
      <w:pPr>
        <w:pStyle w:val="ListParagraph"/>
        <w:numPr>
          <w:ilvl w:val="1"/>
          <w:numId w:val="1"/>
        </w:numPr>
        <w:rPr>
          <w:rStyle w:val="ReportTemplate"/>
          <w:b/>
        </w:rPr>
      </w:pPr>
      <w:r w:rsidRPr="00936F85">
        <w:rPr>
          <w:rStyle w:val="ReportTemplate"/>
          <w:b/>
        </w:rPr>
        <w:t xml:space="preserve">Productivity and Efficiency: </w:t>
      </w:r>
      <w:r w:rsidR="0067061F">
        <w:rPr>
          <w:rStyle w:val="ReportTemplate"/>
        </w:rPr>
        <w:t>Our Productivity programme aims to help councils reduce their financial dependence on government and their call on local taxpayers by</w:t>
      </w:r>
      <w:r w:rsidR="00CC3DF5">
        <w:rPr>
          <w:rStyle w:val="ReportTemplate"/>
        </w:rPr>
        <w:t>:</w:t>
      </w:r>
    </w:p>
    <w:p w14:paraId="4AD8F2B3" w14:textId="77777777" w:rsidR="005B5045" w:rsidRPr="0067061F" w:rsidRDefault="005B5045" w:rsidP="005B5045">
      <w:pPr>
        <w:pStyle w:val="ListParagraph"/>
        <w:numPr>
          <w:ilvl w:val="0"/>
          <w:numId w:val="0"/>
        </w:numPr>
        <w:ind w:left="792"/>
        <w:rPr>
          <w:rStyle w:val="ReportTemplate"/>
          <w:b/>
        </w:rPr>
      </w:pPr>
    </w:p>
    <w:p w14:paraId="6F57C5B0" w14:textId="4E2BC8C5" w:rsidR="0067061F" w:rsidRDefault="0067061F" w:rsidP="0067061F">
      <w:pPr>
        <w:pStyle w:val="ListParagraph"/>
        <w:numPr>
          <w:ilvl w:val="2"/>
          <w:numId w:val="1"/>
        </w:numPr>
        <w:rPr>
          <w:rStyle w:val="ReportTemplate"/>
        </w:rPr>
      </w:pPr>
      <w:r w:rsidRPr="0067061F">
        <w:rPr>
          <w:rStyle w:val="ReportTemplate"/>
        </w:rPr>
        <w:t>Transforming services</w:t>
      </w:r>
      <w:r>
        <w:rPr>
          <w:rStyle w:val="ReportTemplate"/>
        </w:rPr>
        <w:t>;</w:t>
      </w:r>
      <w:r w:rsidRPr="0067061F">
        <w:rPr>
          <w:rStyle w:val="ReportTemplate"/>
        </w:rPr>
        <w:t xml:space="preserve"> e</w:t>
      </w:r>
      <w:r w:rsidR="00E53316">
        <w:rPr>
          <w:rStyle w:val="ReportTemplate"/>
        </w:rPr>
        <w:t>.</w:t>
      </w:r>
      <w:r w:rsidRPr="0067061F">
        <w:rPr>
          <w:rStyle w:val="ReportTemplate"/>
        </w:rPr>
        <w:t>g</w:t>
      </w:r>
      <w:r w:rsidR="00E53316">
        <w:rPr>
          <w:rStyle w:val="ReportTemplate"/>
        </w:rPr>
        <w:t>.</w:t>
      </w:r>
      <w:r>
        <w:rPr>
          <w:rStyle w:val="ReportTemplate"/>
        </w:rPr>
        <w:t xml:space="preserve"> helping councils explore new models of service delivery through the Design in the Public Sector programme; helping manage demand through the Behavioural Insights programme; and </w:t>
      </w:r>
      <w:r w:rsidRPr="0067061F">
        <w:rPr>
          <w:rStyle w:val="ReportTemplate"/>
        </w:rPr>
        <w:t xml:space="preserve">supporting </w:t>
      </w:r>
      <w:r>
        <w:rPr>
          <w:rStyle w:val="ReportTemplate"/>
        </w:rPr>
        <w:t>shared services through the annual shared services map and shared services matchmaking service</w:t>
      </w:r>
      <w:r w:rsidR="005B5045">
        <w:rPr>
          <w:rStyle w:val="ReportTemplate"/>
        </w:rPr>
        <w:t>.</w:t>
      </w:r>
    </w:p>
    <w:p w14:paraId="5ADA4067" w14:textId="77777777" w:rsidR="005B5045" w:rsidRDefault="005B5045" w:rsidP="005B5045">
      <w:pPr>
        <w:pStyle w:val="ListParagraph"/>
        <w:numPr>
          <w:ilvl w:val="0"/>
          <w:numId w:val="0"/>
        </w:numPr>
        <w:ind w:left="1214"/>
        <w:rPr>
          <w:rStyle w:val="ReportTemplate"/>
        </w:rPr>
      </w:pPr>
    </w:p>
    <w:p w14:paraId="605EDD29" w14:textId="61CE8671" w:rsidR="005B5045" w:rsidRDefault="0067061F" w:rsidP="005B5045">
      <w:pPr>
        <w:pStyle w:val="ListParagraph"/>
        <w:numPr>
          <w:ilvl w:val="2"/>
          <w:numId w:val="1"/>
        </w:numPr>
        <w:rPr>
          <w:rStyle w:val="ReportTemplate"/>
        </w:rPr>
      </w:pPr>
      <w:r>
        <w:rPr>
          <w:rStyle w:val="ReportTemplate"/>
        </w:rPr>
        <w:t xml:space="preserve">Smarter sourcing: helping councils commission and procure services </w:t>
      </w:r>
      <w:r w:rsidR="005762A4">
        <w:rPr>
          <w:rStyle w:val="ReportTemplate"/>
        </w:rPr>
        <w:t>more efficiently and effectively through our work on procurement</w:t>
      </w:r>
      <w:r w:rsidR="005B5045">
        <w:rPr>
          <w:rStyle w:val="ReportTemplate"/>
        </w:rPr>
        <w:t>.</w:t>
      </w:r>
    </w:p>
    <w:p w14:paraId="4B087AF0" w14:textId="77777777" w:rsidR="005B5045" w:rsidRDefault="005B5045" w:rsidP="005B5045">
      <w:pPr>
        <w:pStyle w:val="ListParagraph"/>
        <w:numPr>
          <w:ilvl w:val="0"/>
          <w:numId w:val="0"/>
        </w:numPr>
        <w:ind w:left="360"/>
        <w:rPr>
          <w:rStyle w:val="ReportTemplate"/>
        </w:rPr>
      </w:pPr>
    </w:p>
    <w:p w14:paraId="470D5212" w14:textId="74F875C5" w:rsidR="005B5045" w:rsidRDefault="005762A4" w:rsidP="005B5045">
      <w:pPr>
        <w:pStyle w:val="ListParagraph"/>
        <w:numPr>
          <w:ilvl w:val="2"/>
          <w:numId w:val="1"/>
        </w:numPr>
        <w:rPr>
          <w:rStyle w:val="ReportTemplate"/>
        </w:rPr>
      </w:pPr>
      <w:r>
        <w:rPr>
          <w:rStyle w:val="ReportTemplate"/>
        </w:rPr>
        <w:t>Generating income: helping councils explore opportunities to generate a greater proportion of funding locally. So far this year our productivity and income generation experts are working in 21 councils contributing towards efficiency savings and/or income generation of £34.5</w:t>
      </w:r>
      <w:r w:rsidR="00E53316">
        <w:rPr>
          <w:rStyle w:val="ReportTemplate"/>
        </w:rPr>
        <w:t xml:space="preserve"> </w:t>
      </w:r>
      <w:r>
        <w:rPr>
          <w:rStyle w:val="ReportTemplate"/>
        </w:rPr>
        <w:t>m</w:t>
      </w:r>
      <w:r w:rsidR="00E53316">
        <w:rPr>
          <w:rStyle w:val="ReportTemplate"/>
        </w:rPr>
        <w:t>illion</w:t>
      </w:r>
      <w:r>
        <w:rPr>
          <w:rStyle w:val="ReportTemplate"/>
        </w:rPr>
        <w:t>.</w:t>
      </w:r>
    </w:p>
    <w:p w14:paraId="25FDF505" w14:textId="77777777" w:rsidR="005B5045" w:rsidRPr="0067061F" w:rsidRDefault="005B5045" w:rsidP="005B5045">
      <w:pPr>
        <w:pStyle w:val="ListParagraph"/>
        <w:numPr>
          <w:ilvl w:val="0"/>
          <w:numId w:val="0"/>
        </w:numPr>
        <w:ind w:left="360"/>
        <w:rPr>
          <w:rStyle w:val="ReportTemplate"/>
        </w:rPr>
      </w:pPr>
    </w:p>
    <w:p w14:paraId="3E2D5331" w14:textId="65D800C3" w:rsidR="0067061F" w:rsidRPr="00CC3DF5" w:rsidRDefault="005762A4" w:rsidP="005762A4">
      <w:pPr>
        <w:pStyle w:val="ListParagraph"/>
        <w:numPr>
          <w:ilvl w:val="2"/>
          <w:numId w:val="1"/>
        </w:numPr>
        <w:rPr>
          <w:rStyle w:val="ReportTemplate"/>
          <w:b/>
        </w:rPr>
      </w:pPr>
      <w:r>
        <w:rPr>
          <w:rStyle w:val="ReportTemplate"/>
          <w:b/>
        </w:rPr>
        <w:t xml:space="preserve">Other support: </w:t>
      </w:r>
      <w:r w:rsidR="00CC3DF5">
        <w:rPr>
          <w:rStyle w:val="ReportTemplate"/>
        </w:rPr>
        <w:t>Additional support is also available e</w:t>
      </w:r>
      <w:r w:rsidR="00E53316">
        <w:rPr>
          <w:rStyle w:val="ReportTemplate"/>
        </w:rPr>
        <w:t>.</w:t>
      </w:r>
      <w:r w:rsidR="00CC3DF5">
        <w:rPr>
          <w:rStyle w:val="ReportTemplate"/>
        </w:rPr>
        <w:t>g</w:t>
      </w:r>
      <w:r w:rsidR="00E53316">
        <w:rPr>
          <w:rStyle w:val="ReportTemplate"/>
        </w:rPr>
        <w:t>.</w:t>
      </w:r>
      <w:r w:rsidR="00CC3DF5">
        <w:rPr>
          <w:rStyle w:val="ReportTemplate"/>
        </w:rPr>
        <w:t xml:space="preserve"> by way of LG</w:t>
      </w:r>
      <w:r w:rsidR="00E53316">
        <w:rPr>
          <w:rStyle w:val="ReportTemplate"/>
        </w:rPr>
        <w:t xml:space="preserve"> </w:t>
      </w:r>
      <w:r w:rsidR="00CC3DF5">
        <w:rPr>
          <w:rStyle w:val="ReportTemplate"/>
        </w:rPr>
        <w:t xml:space="preserve">Inform and LG Inform </w:t>
      </w:r>
      <w:proofErr w:type="spellStart"/>
      <w:r w:rsidR="00CC3DF5">
        <w:rPr>
          <w:rStyle w:val="ReportTemplate"/>
        </w:rPr>
        <w:t>vfm</w:t>
      </w:r>
      <w:proofErr w:type="spellEnd"/>
      <w:r w:rsidR="00CC3DF5">
        <w:rPr>
          <w:rStyle w:val="ReportTemplate"/>
        </w:rPr>
        <w:t xml:space="preserve"> profiles, enabling councils to make performance and cost comparisons with others and through our work with Local Partnerships. </w:t>
      </w:r>
    </w:p>
    <w:p w14:paraId="4F4C877F" w14:textId="77777777" w:rsidR="00CC3DF5" w:rsidRPr="00936F85" w:rsidRDefault="00CC3DF5" w:rsidP="00CC3DF5">
      <w:pPr>
        <w:pStyle w:val="ListParagraph"/>
        <w:numPr>
          <w:ilvl w:val="0"/>
          <w:numId w:val="0"/>
        </w:numPr>
        <w:ind w:left="1214"/>
        <w:rPr>
          <w:rStyle w:val="ReportTemplate"/>
          <w:b/>
        </w:rPr>
      </w:pPr>
    </w:p>
    <w:p w14:paraId="5837A1BA" w14:textId="5FC3AFDC" w:rsidR="009B6F95" w:rsidRDefault="00CC3DF5" w:rsidP="00301A51">
      <w:pPr>
        <w:pStyle w:val="ListParagraph"/>
        <w:rPr>
          <w:rStyle w:val="ReportTemplate"/>
        </w:rPr>
      </w:pPr>
      <w:r>
        <w:rPr>
          <w:rStyle w:val="ReportTemplate"/>
        </w:rPr>
        <w:t xml:space="preserve">As well as this range of practical advice and support the LGA’s regionally based Principal Advisers, working with our small team of Financial Improvement </w:t>
      </w:r>
      <w:r w:rsidR="00077759">
        <w:rPr>
          <w:rStyle w:val="ReportTemplate"/>
        </w:rPr>
        <w:t xml:space="preserve">and </w:t>
      </w:r>
      <w:r>
        <w:rPr>
          <w:rStyle w:val="ReportTemplate"/>
        </w:rPr>
        <w:t>Sust</w:t>
      </w:r>
      <w:bookmarkStart w:id="1" w:name="_GoBack"/>
      <w:bookmarkEnd w:id="1"/>
      <w:r>
        <w:rPr>
          <w:rStyle w:val="ReportTemplate"/>
        </w:rPr>
        <w:t>ainability Advisers (FISAs),</w:t>
      </w:r>
      <w:r w:rsidR="00077759">
        <w:rPr>
          <w:rStyle w:val="ReportTemplate"/>
        </w:rPr>
        <w:t xml:space="preserve"> </w:t>
      </w:r>
      <w:r>
        <w:rPr>
          <w:rStyle w:val="ReportTemplate"/>
        </w:rPr>
        <w:t xml:space="preserve">utilise data and intelligence to keep under review councils in their areas with performance and financial challenges in order to be able to offer proactive support.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D83392E" w14:textId="0C65F5F1" w:rsidR="002539E9" w:rsidRPr="0014371D" w:rsidRDefault="0014371D" w:rsidP="0014371D">
      <w:pPr>
        <w:pStyle w:val="ListParagraph"/>
        <w:rPr>
          <w:rStyle w:val="ReportTemplate"/>
        </w:rPr>
      </w:pPr>
      <w:r w:rsidRPr="0014371D">
        <w:rPr>
          <w:rStyle w:val="ReportTemplate"/>
        </w:rPr>
        <w:t xml:space="preserve">This report is about England only and does not </w:t>
      </w:r>
      <w:r w:rsidR="002539E9" w:rsidRPr="0014371D">
        <w:rPr>
          <w:rStyle w:val="ReportTemplate"/>
        </w:rPr>
        <w:t>relate to the WLGA or to Welsh member counc</w:t>
      </w:r>
      <w:r w:rsidRPr="0014371D">
        <w:rPr>
          <w:rStyle w:val="ReportTemplate"/>
        </w:rPr>
        <w:t xml:space="preserve">ils. </w:t>
      </w:r>
      <w:r w:rsidR="002539E9" w:rsidRPr="0014371D">
        <w:rPr>
          <w:rStyle w:val="ReportTemplate"/>
        </w:rPr>
        <w:t>Improvement work is provided directly by the WLGA.</w:t>
      </w: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753EFD15" w14:textId="77777777" w:rsidR="005B5045" w:rsidRDefault="005B5045" w:rsidP="000F69FB">
          <w:pPr>
            <w:rPr>
              <w:rStyle w:val="Style6"/>
            </w:rPr>
          </w:pPr>
        </w:p>
        <w:p w14:paraId="367D3CF6" w14:textId="77777777" w:rsidR="005B5045" w:rsidRDefault="005B5045" w:rsidP="000F69FB">
          <w:pPr>
            <w:rPr>
              <w:rStyle w:val="Style6"/>
            </w:rPr>
          </w:pPr>
        </w:p>
        <w:p w14:paraId="5837A1C2" w14:textId="0C8009E4" w:rsidR="009B6F95" w:rsidRPr="009B1AA8" w:rsidRDefault="009B6F95" w:rsidP="000F69FB">
          <w:pPr>
            <w:rPr>
              <w:rStyle w:val="ReportTemplate"/>
            </w:rPr>
          </w:pPr>
          <w:r w:rsidRPr="009B1AA8">
            <w:rPr>
              <w:rStyle w:val="Style6"/>
            </w:rPr>
            <w:t>Financial Implications</w:t>
          </w:r>
        </w:p>
      </w:sdtContent>
    </w:sdt>
    <w:p w14:paraId="5837A1C4" w14:textId="06FD178D" w:rsidR="009B6F95" w:rsidRPr="005B5045" w:rsidRDefault="0014371D" w:rsidP="005B5045">
      <w:pPr>
        <w:pStyle w:val="ListParagraph"/>
        <w:rPr>
          <w:rStyle w:val="Title2"/>
          <w:b w:val="0"/>
          <w:sz w:val="22"/>
        </w:rPr>
      </w:pPr>
      <w:r w:rsidRPr="0014371D">
        <w:rPr>
          <w:rStyle w:val="Title2"/>
          <w:b w:val="0"/>
          <w:sz w:val="22"/>
        </w:rPr>
        <w:t>There are no additional financial implic</w:t>
      </w:r>
      <w:r w:rsidR="00077759">
        <w:rPr>
          <w:rStyle w:val="Title2"/>
          <w:b w:val="0"/>
          <w:sz w:val="22"/>
        </w:rPr>
        <w:t>ations arising from this report.</w:t>
      </w:r>
    </w:p>
    <w:p w14:paraId="5837A1C5" w14:textId="7D9880CE" w:rsidR="009B6F95" w:rsidRPr="009B1AA8" w:rsidRDefault="00E53316" w:rsidP="005B5045">
      <w:pPr>
        <w:tabs>
          <w:tab w:val="left" w:pos="7905"/>
        </w:tabs>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r w:rsidR="005B5045">
        <w:rPr>
          <w:rStyle w:val="Style6"/>
        </w:rPr>
        <w:tab/>
      </w:r>
    </w:p>
    <w:p w14:paraId="5837A1C6" w14:textId="6F143746" w:rsidR="009B6F95" w:rsidRPr="009B1AA8" w:rsidRDefault="0014371D" w:rsidP="000F69FB">
      <w:pPr>
        <w:pStyle w:val="ListParagraph"/>
        <w:rPr>
          <w:rStyle w:val="ReportTemplate"/>
        </w:rPr>
      </w:pPr>
      <w:r>
        <w:rPr>
          <w:rStyle w:val="ReportTemplate"/>
        </w:rPr>
        <w:t>To be determined in the light of members’ comments</w:t>
      </w:r>
      <w:r w:rsidR="00077759">
        <w:rPr>
          <w:rStyle w:val="ReportTemplate"/>
        </w:rPr>
        <w:t>.</w:t>
      </w:r>
    </w:p>
    <w:p w14:paraId="5837A1C7" w14:textId="77777777" w:rsidR="009B6F95" w:rsidRDefault="009B6F95" w:rsidP="0014371D">
      <w:pPr>
        <w:pStyle w:val="ListParagraph"/>
        <w:numPr>
          <w:ilvl w:val="0"/>
          <w:numId w:val="0"/>
        </w:numPr>
        <w:ind w:left="360"/>
        <w:rPr>
          <w:rStyle w:val="ReportTemplate"/>
        </w:rPr>
      </w:pPr>
    </w:p>
    <w:p w14:paraId="5837A1C8" w14:textId="77777777" w:rsidR="009B6F95" w:rsidRDefault="009B6F95"/>
    <w:p w14:paraId="1499E18E" w14:textId="023CE3A9" w:rsidR="001A5F7B" w:rsidRDefault="001A5F7B"/>
    <w:p w14:paraId="1D3B2D13" w14:textId="77777777" w:rsidR="001A5F7B" w:rsidRDefault="001A5F7B"/>
    <w:p w14:paraId="53F79892" w14:textId="77777777" w:rsidR="001A5F7B" w:rsidRDefault="001A5F7B"/>
    <w:p w14:paraId="472EBDAD" w14:textId="77777777" w:rsidR="001A5F7B" w:rsidRDefault="001A5F7B"/>
    <w:p w14:paraId="53132DB8" w14:textId="77777777" w:rsidR="001A5F7B" w:rsidRDefault="001A5F7B"/>
    <w:p w14:paraId="2605A670" w14:textId="77777777" w:rsidR="001A5F7B" w:rsidRDefault="001A5F7B"/>
    <w:p w14:paraId="54F09B37" w14:textId="77777777" w:rsidR="001A5F7B" w:rsidRDefault="001A5F7B"/>
    <w:p w14:paraId="6C0F3EFE" w14:textId="77777777" w:rsidR="001A5F7B" w:rsidRDefault="001A5F7B"/>
    <w:p w14:paraId="7E919504" w14:textId="77777777" w:rsidR="001A5F7B" w:rsidRDefault="001A5F7B" w:rsidP="001A5F7B">
      <w:pPr>
        <w:pStyle w:val="NoSpacing"/>
        <w:rPr>
          <w:rFonts w:ascii="Arial" w:hAnsi="Arial" w:cs="Arial"/>
          <w:color w:val="464B51"/>
          <w:sz w:val="27"/>
          <w:szCs w:val="27"/>
          <w:lang w:val="en"/>
        </w:rPr>
      </w:pPr>
    </w:p>
    <w:p w14:paraId="320EC645" w14:textId="77777777" w:rsidR="001A5F7B" w:rsidRDefault="001A5F7B" w:rsidP="001A5F7B">
      <w:pPr>
        <w:pStyle w:val="NoSpacing"/>
        <w:rPr>
          <w:rFonts w:ascii="Arial" w:hAnsi="Arial" w:cs="Arial"/>
          <w:color w:val="464B51"/>
          <w:sz w:val="27"/>
          <w:szCs w:val="27"/>
          <w:lang w:val="en"/>
        </w:rPr>
      </w:pPr>
    </w:p>
    <w:sectPr w:rsidR="001A5F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762A4" w:rsidRPr="00C803F3" w:rsidRDefault="005762A4" w:rsidP="00C803F3">
      <w:r>
        <w:separator/>
      </w:r>
    </w:p>
  </w:endnote>
  <w:endnote w:type="continuationSeparator" w:id="0">
    <w:p w14:paraId="5837A1CE" w14:textId="77777777" w:rsidR="005762A4" w:rsidRPr="00C803F3" w:rsidRDefault="005762A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762A4" w:rsidRPr="00C803F3" w:rsidRDefault="005762A4" w:rsidP="00C803F3">
      <w:r>
        <w:separator/>
      </w:r>
    </w:p>
  </w:footnote>
  <w:footnote w:type="continuationSeparator" w:id="0">
    <w:p w14:paraId="5837A1CC" w14:textId="77777777" w:rsidR="005762A4" w:rsidRPr="00C803F3" w:rsidRDefault="005762A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762A4" w:rsidRDefault="005762A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762A4" w:rsidRPr="00C25CA7" w14:paraId="5837A1D2" w14:textId="77777777" w:rsidTr="000F69FB">
      <w:trPr>
        <w:trHeight w:val="416"/>
      </w:trPr>
      <w:tc>
        <w:tcPr>
          <w:tcW w:w="5812" w:type="dxa"/>
          <w:vMerge w:val="restart"/>
        </w:tcPr>
        <w:p w14:paraId="5837A1D0" w14:textId="77777777" w:rsidR="005762A4" w:rsidRPr="00C803F3" w:rsidRDefault="005762A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5EC30C4" w:rsidR="005762A4" w:rsidRPr="00C803F3" w:rsidRDefault="005762A4" w:rsidP="001A5F7B">
              <w:r w:rsidRPr="00E53316">
                <w:rPr>
                  <w:b/>
                </w:rPr>
                <w:t>Improvement and Innovation</w:t>
              </w:r>
              <w:r w:rsidR="005B5045" w:rsidRPr="00E53316">
                <w:rPr>
                  <w:b/>
                </w:rPr>
                <w:t xml:space="preserve"> Board</w:t>
              </w:r>
            </w:p>
          </w:tc>
        </w:sdtContent>
      </w:sdt>
    </w:tr>
    <w:tr w:rsidR="005762A4" w14:paraId="5837A1D5" w14:textId="77777777" w:rsidTr="000F69FB">
      <w:trPr>
        <w:trHeight w:val="406"/>
      </w:trPr>
      <w:tc>
        <w:tcPr>
          <w:tcW w:w="5812" w:type="dxa"/>
          <w:vMerge/>
        </w:tcPr>
        <w:p w14:paraId="5837A1D3" w14:textId="77777777" w:rsidR="005762A4" w:rsidRPr="00A627DD" w:rsidRDefault="005762A4" w:rsidP="00C803F3"/>
      </w:tc>
      <w:tc>
        <w:tcPr>
          <w:tcW w:w="4106" w:type="dxa"/>
        </w:tcPr>
        <w:sdt>
          <w:sdtPr>
            <w:alias w:val="Date"/>
            <w:tag w:val="Date"/>
            <w:id w:val="-488943452"/>
            <w:placeholder>
              <w:docPart w:val="DC36D9B85A214F14AB68618A90760C36"/>
            </w:placeholder>
            <w:date w:fullDate="2018-03-22T00:00:00Z">
              <w:dateFormat w:val="dd MMMM yyyy"/>
              <w:lid w:val="en-GB"/>
              <w:storeMappedDataAs w:val="dateTime"/>
              <w:calendar w:val="gregorian"/>
            </w:date>
          </w:sdtPr>
          <w:sdtEndPr/>
          <w:sdtContent>
            <w:p w14:paraId="5837A1D4" w14:textId="63DF562C" w:rsidR="005762A4" w:rsidRPr="00C803F3" w:rsidRDefault="005762A4" w:rsidP="001A5F7B">
              <w:r>
                <w:t>22 March 2018</w:t>
              </w:r>
            </w:p>
          </w:sdtContent>
        </w:sdt>
      </w:tc>
    </w:tr>
  </w:tbl>
  <w:p w14:paraId="5837A1D9" w14:textId="77777777" w:rsidR="005762A4" w:rsidRDefault="00576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5DBC943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center"/>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7F1"/>
    <w:rsid w:val="00016097"/>
    <w:rsid w:val="00017C2E"/>
    <w:rsid w:val="00077759"/>
    <w:rsid w:val="000F69FB"/>
    <w:rsid w:val="0014371D"/>
    <w:rsid w:val="001A5F7B"/>
    <w:rsid w:val="001B36CE"/>
    <w:rsid w:val="002539E9"/>
    <w:rsid w:val="00301A51"/>
    <w:rsid w:val="0033430A"/>
    <w:rsid w:val="003F2CD5"/>
    <w:rsid w:val="005762A4"/>
    <w:rsid w:val="005878F4"/>
    <w:rsid w:val="005B5045"/>
    <w:rsid w:val="0067061F"/>
    <w:rsid w:val="00712C86"/>
    <w:rsid w:val="007622BA"/>
    <w:rsid w:val="00795C95"/>
    <w:rsid w:val="0080661C"/>
    <w:rsid w:val="00891AE9"/>
    <w:rsid w:val="00936F85"/>
    <w:rsid w:val="0094439C"/>
    <w:rsid w:val="009B1AA8"/>
    <w:rsid w:val="009B6F95"/>
    <w:rsid w:val="00B84F31"/>
    <w:rsid w:val="00C803F3"/>
    <w:rsid w:val="00CC3DF5"/>
    <w:rsid w:val="00CD188C"/>
    <w:rsid w:val="00D45B4D"/>
    <w:rsid w:val="00DA7394"/>
    <w:rsid w:val="00E53316"/>
    <w:rsid w:val="00EB3672"/>
    <w:rsid w:val="00ED2C58"/>
    <w:rsid w:val="00F352C6"/>
    <w:rsid w:val="00FA2133"/>
    <w:rsid w:val="00FC3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Spacing">
    <w:name w:val="No Spacing"/>
    <w:basedOn w:val="Normal"/>
    <w:uiPriority w:val="1"/>
    <w:qFormat/>
    <w:rsid w:val="001A5F7B"/>
    <w:pPr>
      <w:spacing w:after="300"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ED2C58"/>
    <w:pPr>
      <w:autoSpaceDE w:val="0"/>
      <w:autoSpaceDN w:val="0"/>
      <w:adjustRightInd w:val="0"/>
      <w:spacing w:after="0" w:line="240" w:lineRule="auto"/>
    </w:pPr>
    <w:rPr>
      <w:rFonts w:ascii="HelveticaNeueLT Std Lt" w:eastAsiaTheme="minorHAnsi" w:hAnsi="HelveticaNeueLT Std Lt" w:cs="HelveticaNeueLT Std Lt"/>
      <w:color w:val="000000"/>
      <w:sz w:val="24"/>
      <w:szCs w:val="24"/>
      <w:lang w:eastAsia="en-US"/>
    </w:rPr>
  </w:style>
  <w:style w:type="character" w:styleId="Hyperlink">
    <w:name w:val="Hyperlink"/>
    <w:basedOn w:val="DefaultParagraphFont"/>
    <w:uiPriority w:val="99"/>
    <w:unhideWhenUsed/>
    <w:rsid w:val="00CC3DF5"/>
    <w:rPr>
      <w:color w:val="0563C1" w:themeColor="hyperlink"/>
      <w:u w:val="single"/>
    </w:rPr>
  </w:style>
  <w:style w:type="character" w:styleId="FollowedHyperlink">
    <w:name w:val="FollowedHyperlink"/>
    <w:basedOn w:val="DefaultParagraphFont"/>
    <w:uiPriority w:val="99"/>
    <w:semiHidden/>
    <w:unhideWhenUsed/>
    <w:rsid w:val="00CD1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83008">
      <w:bodyDiv w:val="1"/>
      <w:marLeft w:val="0"/>
      <w:marRight w:val="0"/>
      <w:marTop w:val="0"/>
      <w:marBottom w:val="0"/>
      <w:divBdr>
        <w:top w:val="none" w:sz="0" w:space="0" w:color="auto"/>
        <w:left w:val="none" w:sz="0" w:space="0" w:color="auto"/>
        <w:bottom w:val="none" w:sz="0" w:space="0" w:color="auto"/>
        <w:right w:val="none" w:sz="0" w:space="0" w:color="auto"/>
      </w:divBdr>
      <w:divsChild>
        <w:div w:id="1252275305">
          <w:marLeft w:val="0"/>
          <w:marRight w:val="0"/>
          <w:marTop w:val="0"/>
          <w:marBottom w:val="0"/>
          <w:divBdr>
            <w:top w:val="none" w:sz="0" w:space="0" w:color="auto"/>
            <w:left w:val="none" w:sz="0" w:space="0" w:color="auto"/>
            <w:bottom w:val="none" w:sz="0" w:space="0" w:color="auto"/>
            <w:right w:val="none" w:sz="0" w:space="0" w:color="auto"/>
          </w:divBdr>
          <w:divsChild>
            <w:div w:id="1477991199">
              <w:marLeft w:val="0"/>
              <w:marRight w:val="0"/>
              <w:marTop w:val="0"/>
              <w:marBottom w:val="0"/>
              <w:divBdr>
                <w:top w:val="none" w:sz="0" w:space="0" w:color="auto"/>
                <w:left w:val="none" w:sz="0" w:space="0" w:color="auto"/>
                <w:bottom w:val="none" w:sz="0" w:space="0" w:color="auto"/>
                <w:right w:val="none" w:sz="0" w:space="0" w:color="auto"/>
              </w:divBdr>
              <w:divsChild>
                <w:div w:id="1527908805">
                  <w:marLeft w:val="0"/>
                  <w:marRight w:val="0"/>
                  <w:marTop w:val="0"/>
                  <w:marBottom w:val="0"/>
                  <w:divBdr>
                    <w:top w:val="none" w:sz="0" w:space="0" w:color="auto"/>
                    <w:left w:val="none" w:sz="0" w:space="0" w:color="auto"/>
                    <w:bottom w:val="none" w:sz="0" w:space="0" w:color="auto"/>
                    <w:right w:val="none" w:sz="0" w:space="0" w:color="auto"/>
                  </w:divBdr>
                  <w:divsChild>
                    <w:div w:id="903297177">
                      <w:marLeft w:val="-225"/>
                      <w:marRight w:val="-225"/>
                      <w:marTop w:val="0"/>
                      <w:marBottom w:val="0"/>
                      <w:divBdr>
                        <w:top w:val="none" w:sz="0" w:space="0" w:color="auto"/>
                        <w:left w:val="none" w:sz="0" w:space="0" w:color="auto"/>
                        <w:bottom w:val="none" w:sz="0" w:space="0" w:color="auto"/>
                        <w:right w:val="none" w:sz="0" w:space="0" w:color="auto"/>
                      </w:divBdr>
                      <w:divsChild>
                        <w:div w:id="1974289497">
                          <w:marLeft w:val="0"/>
                          <w:marRight w:val="0"/>
                          <w:marTop w:val="0"/>
                          <w:marBottom w:val="0"/>
                          <w:divBdr>
                            <w:top w:val="none" w:sz="0" w:space="0" w:color="auto"/>
                            <w:left w:val="none" w:sz="0" w:space="0" w:color="auto"/>
                            <w:bottom w:val="none" w:sz="0" w:space="0" w:color="auto"/>
                            <w:right w:val="none" w:sz="0" w:space="0" w:color="auto"/>
                          </w:divBdr>
                          <w:divsChild>
                            <w:div w:id="1452897761">
                              <w:marLeft w:val="-225"/>
                              <w:marRight w:val="-225"/>
                              <w:marTop w:val="0"/>
                              <w:marBottom w:val="0"/>
                              <w:divBdr>
                                <w:top w:val="none" w:sz="0" w:space="0" w:color="auto"/>
                                <w:left w:val="none" w:sz="0" w:space="0" w:color="auto"/>
                                <w:bottom w:val="none" w:sz="0" w:space="0" w:color="auto"/>
                                <w:right w:val="none" w:sz="0" w:space="0" w:color="auto"/>
                              </w:divBdr>
                              <w:divsChild>
                                <w:div w:id="1481381785">
                                  <w:marLeft w:val="0"/>
                                  <w:marRight w:val="0"/>
                                  <w:marTop w:val="0"/>
                                  <w:marBottom w:val="0"/>
                                  <w:divBdr>
                                    <w:top w:val="none" w:sz="0" w:space="0" w:color="auto"/>
                                    <w:left w:val="none" w:sz="0" w:space="0" w:color="auto"/>
                                    <w:bottom w:val="none" w:sz="0" w:space="0" w:color="auto"/>
                                    <w:right w:val="none" w:sz="0" w:space="0" w:color="auto"/>
                                  </w:divBdr>
                                  <w:divsChild>
                                    <w:div w:id="785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about/news/lga-responds-nao-report-financial-sustainability-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D458BF69B694C29B178A1B00577BD13"/>
        <w:category>
          <w:name w:val="General"/>
          <w:gallery w:val="placeholder"/>
        </w:category>
        <w:types>
          <w:type w:val="bbPlcHdr"/>
        </w:types>
        <w:behaviors>
          <w:behavior w:val="content"/>
        </w:behaviors>
        <w:guid w:val="{2387557A-815C-41C0-BA78-92623374AB4E}"/>
      </w:docPartPr>
      <w:docPartBody>
        <w:p w:rsidR="003353C6" w:rsidRDefault="003353C6" w:rsidP="003353C6">
          <w:pPr>
            <w:pStyle w:val="7D458BF69B694C29B178A1B00577BD1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A7E87"/>
    <w:rsid w:val="001C79DF"/>
    <w:rsid w:val="002F1F5C"/>
    <w:rsid w:val="003353C6"/>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3C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D458BF69B694C29B178A1B00577BD13">
    <w:name w:val="7D458BF69B694C29B178A1B00577BD13"/>
    <w:rsid w:val="003353C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Props1.xml><?xml version="1.0" encoding="utf-8"?>
<ds:datastoreItem xmlns:ds="http://schemas.openxmlformats.org/officeDocument/2006/customXml" ds:itemID="{D3D25ABD-1AA5-4771-8E0B-7A842FFF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schemas.microsoft.com/office/2006/metadata/properties"/>
    <ds:schemaRef ds:uri="http://purl.org/dc/dcmitype/"/>
    <ds:schemaRef ds:uri="http://schemas.microsoft.com/office/infopath/2007/PartnerControls"/>
    <ds:schemaRef ds:uri="1c8a0e75-f4bc-4eb4-8ed0-578eaea9e1ca"/>
    <ds:schemaRef ds:uri="http://purl.org/dc/terms/"/>
    <ds:schemaRef ds:uri="http://schemas.microsoft.com/office/2006/documentManagement/types"/>
    <ds:schemaRef ds:uri="http://schemas.openxmlformats.org/package/2006/metadata/core-properties"/>
    <ds:schemaRef ds:uri="0c42e574-eb01-412a-abec-28d17bedca0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EDE58290.dotm</Template>
  <TotalTime>176</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9</cp:revision>
  <dcterms:created xsi:type="dcterms:W3CDTF">2018-03-09T14:37:00Z</dcterms:created>
  <dcterms:modified xsi:type="dcterms:W3CDTF">2018-03-15T15:50:00Z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